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6654" w14:textId="5630DE90" w:rsidR="004B4D67" w:rsidRDefault="00C16832" w:rsidP="00F5440B">
      <w:pPr>
        <w:spacing w:before="0" w:after="0" w:line="240" w:lineRule="auto"/>
        <w:jc w:val="center"/>
        <w:rPr>
          <w:rFonts w:ascii="Arial" w:hAnsi="Arial" w:cs="Arial"/>
          <w:b/>
          <w:sz w:val="24"/>
          <w:szCs w:val="24"/>
        </w:rPr>
      </w:pPr>
      <w:r>
        <w:rPr>
          <w:b/>
          <w:noProof/>
          <w:sz w:val="28"/>
        </w:rPr>
        <w:drawing>
          <wp:anchor distT="0" distB="0" distL="114300" distR="114300" simplePos="0" relativeHeight="251661312" behindDoc="0" locked="0" layoutInCell="1" allowOverlap="1" wp14:anchorId="66EC235D" wp14:editId="3FD695CE">
            <wp:simplePos x="0" y="0"/>
            <wp:positionH relativeFrom="margin">
              <wp:posOffset>2495550</wp:posOffset>
            </wp:positionH>
            <wp:positionV relativeFrom="margin">
              <wp:posOffset>-342900</wp:posOffset>
            </wp:positionV>
            <wp:extent cx="981075" cy="1038225"/>
            <wp:effectExtent l="0" t="0" r="9525" b="0"/>
            <wp:wrapSquare wrapText="bothSides"/>
            <wp:docPr id="8048510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048" name="Picture 1" descr="A blue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pic:spPr>
                </pic:pic>
              </a:graphicData>
            </a:graphic>
            <wp14:sizeRelH relativeFrom="page">
              <wp14:pctWidth>0</wp14:pctWidth>
            </wp14:sizeRelH>
            <wp14:sizeRelV relativeFrom="page">
              <wp14:pctHeight>0</wp14:pctHeight>
            </wp14:sizeRelV>
          </wp:anchor>
        </w:drawing>
      </w:r>
    </w:p>
    <w:p w14:paraId="5E9E1659" w14:textId="77777777" w:rsidR="004B4D67" w:rsidRDefault="004B4D67" w:rsidP="00F5440B">
      <w:pPr>
        <w:spacing w:before="0" w:after="0" w:line="240" w:lineRule="auto"/>
        <w:jc w:val="center"/>
        <w:rPr>
          <w:rFonts w:ascii="Arial" w:hAnsi="Arial" w:cs="Arial"/>
          <w:b/>
          <w:sz w:val="24"/>
          <w:szCs w:val="24"/>
        </w:rPr>
      </w:pPr>
    </w:p>
    <w:p w14:paraId="44025DE7" w14:textId="77777777" w:rsidR="004B4D67" w:rsidRDefault="004B4D67" w:rsidP="00F5440B">
      <w:pPr>
        <w:spacing w:before="0" w:after="0" w:line="240" w:lineRule="auto"/>
        <w:jc w:val="center"/>
        <w:rPr>
          <w:rFonts w:ascii="Arial" w:hAnsi="Arial" w:cs="Arial"/>
          <w:b/>
          <w:sz w:val="24"/>
          <w:szCs w:val="24"/>
        </w:rPr>
      </w:pPr>
    </w:p>
    <w:p w14:paraId="0E512741" w14:textId="77777777" w:rsidR="004B4D67" w:rsidRDefault="004B4D67" w:rsidP="00F5440B">
      <w:pPr>
        <w:spacing w:before="0" w:after="0" w:line="240" w:lineRule="auto"/>
        <w:jc w:val="center"/>
        <w:rPr>
          <w:rFonts w:ascii="Arial" w:hAnsi="Arial" w:cs="Arial"/>
          <w:b/>
          <w:sz w:val="24"/>
          <w:szCs w:val="24"/>
        </w:rPr>
      </w:pPr>
    </w:p>
    <w:p w14:paraId="31023AA9" w14:textId="5A46C3BF" w:rsidR="0057143B" w:rsidRPr="00587D38" w:rsidRDefault="0057143B" w:rsidP="009B0F91">
      <w:pPr>
        <w:spacing w:before="0" w:after="0"/>
        <w:jc w:val="center"/>
        <w:rPr>
          <w:rFonts w:ascii="Arial" w:hAnsi="Arial" w:cs="Arial"/>
          <w:b/>
          <w:sz w:val="24"/>
          <w:szCs w:val="24"/>
        </w:rPr>
      </w:pPr>
      <w:r w:rsidRPr="00587D38">
        <w:rPr>
          <w:rFonts w:ascii="Arial" w:hAnsi="Arial" w:cs="Arial"/>
          <w:b/>
          <w:sz w:val="24"/>
          <w:szCs w:val="24"/>
        </w:rPr>
        <w:t>City of Bellingham</w:t>
      </w:r>
    </w:p>
    <w:p w14:paraId="6320BD7A" w14:textId="528B3256" w:rsidR="00F5440B" w:rsidRPr="00587D38" w:rsidRDefault="00F5440B" w:rsidP="009B0F91">
      <w:pPr>
        <w:spacing w:before="0" w:after="0"/>
        <w:jc w:val="center"/>
        <w:rPr>
          <w:rFonts w:ascii="Arial" w:hAnsi="Arial" w:cs="Arial"/>
          <w:b/>
          <w:sz w:val="24"/>
          <w:szCs w:val="24"/>
        </w:rPr>
      </w:pPr>
      <w:r w:rsidRPr="00587D38">
        <w:rPr>
          <w:rFonts w:ascii="Arial" w:hAnsi="Arial" w:cs="Arial"/>
          <w:b/>
          <w:sz w:val="24"/>
          <w:szCs w:val="24"/>
        </w:rPr>
        <w:t>Tourism Grant</w:t>
      </w:r>
      <w:r w:rsidR="005073FD">
        <w:rPr>
          <w:rFonts w:ascii="Arial" w:hAnsi="Arial" w:cs="Arial"/>
          <w:b/>
          <w:sz w:val="24"/>
          <w:szCs w:val="24"/>
        </w:rPr>
        <w:t xml:space="preserve"> Program</w:t>
      </w:r>
    </w:p>
    <w:p w14:paraId="7A11EEAC" w14:textId="2E4D247F" w:rsidR="00F5440B" w:rsidRPr="00587D38" w:rsidRDefault="00900C6F" w:rsidP="009B0F91">
      <w:pPr>
        <w:spacing w:before="0" w:after="0"/>
        <w:jc w:val="center"/>
        <w:rPr>
          <w:rFonts w:ascii="Arial" w:hAnsi="Arial" w:cs="Arial"/>
          <w:b/>
          <w:sz w:val="32"/>
          <w:szCs w:val="32"/>
        </w:rPr>
      </w:pPr>
      <w:r w:rsidRPr="00587D38">
        <w:rPr>
          <w:rFonts w:ascii="Arial" w:hAnsi="Arial" w:cs="Arial"/>
          <w:b/>
          <w:sz w:val="32"/>
          <w:szCs w:val="32"/>
        </w:rPr>
        <w:t>ELIGIBLE EXPENSES &amp; MARKETING REQUIREMENTS</w:t>
      </w:r>
    </w:p>
    <w:p w14:paraId="1CFE3845" w14:textId="77777777" w:rsidR="00F5440B" w:rsidRPr="00587D38" w:rsidRDefault="00F5440B" w:rsidP="00F5440B">
      <w:pPr>
        <w:spacing w:before="0" w:after="0" w:line="240" w:lineRule="auto"/>
        <w:rPr>
          <w:rFonts w:ascii="Arial" w:hAnsi="Arial" w:cs="Arial"/>
          <w:b/>
          <w:sz w:val="32"/>
          <w:szCs w:val="32"/>
        </w:rPr>
      </w:pPr>
    </w:p>
    <w:p w14:paraId="5FC1653D" w14:textId="64647A8F" w:rsidR="00F5440B" w:rsidRPr="00587D38" w:rsidRDefault="00F5440B" w:rsidP="00F5440B">
      <w:pPr>
        <w:rPr>
          <w:rFonts w:ascii="Arial" w:hAnsi="Arial" w:cs="Arial"/>
          <w:sz w:val="22"/>
          <w:szCs w:val="22"/>
        </w:rPr>
      </w:pPr>
      <w:r w:rsidRPr="00587D38">
        <w:rPr>
          <w:rFonts w:ascii="Arial" w:hAnsi="Arial" w:cs="Arial"/>
          <w:sz w:val="22"/>
          <w:szCs w:val="22"/>
        </w:rPr>
        <w:t xml:space="preserve">Eligible operational expenses are limited to venue rentals (i.e. conference rooms), equipment rentals (i.e., cones, traffic signs, etc.), a portion of rent (must be proportionate to the event), and/or the purchase of goods/supplies with prior approval by the City.  For example, payroll, travel, alcohol and equipment expenses are NOT allowed.  </w:t>
      </w:r>
      <w:r w:rsidRPr="00587D38">
        <w:rPr>
          <w:rFonts w:ascii="Arial" w:hAnsi="Arial" w:cs="Arial"/>
          <w:sz w:val="22"/>
          <w:szCs w:val="22"/>
          <w:u w:val="single"/>
        </w:rPr>
        <w:t>Final decisions by the City on allowed operational expenses will be identified in the contract</w:t>
      </w:r>
      <w:r w:rsidRPr="00587D38">
        <w:rPr>
          <w:rFonts w:ascii="Arial" w:hAnsi="Arial" w:cs="Arial"/>
          <w:sz w:val="22"/>
          <w:szCs w:val="22"/>
        </w:rPr>
        <w:t xml:space="preserve">, and all expenses must be incurred and paid during the contractual period with appropriate back-up documentation available.  For events or projects occurring </w:t>
      </w:r>
      <w:r w:rsidR="0008038F">
        <w:rPr>
          <w:rFonts w:ascii="Arial" w:hAnsi="Arial" w:cs="Arial"/>
          <w:sz w:val="22"/>
          <w:szCs w:val="22"/>
        </w:rPr>
        <w:t>early in the calendar year,</w:t>
      </w:r>
      <w:r w:rsidRPr="00587D38">
        <w:rPr>
          <w:rFonts w:ascii="Arial" w:hAnsi="Arial" w:cs="Arial"/>
          <w:sz w:val="22"/>
          <w:szCs w:val="22"/>
        </w:rPr>
        <w:t xml:space="preserve"> marketing expenses </w:t>
      </w:r>
      <w:r w:rsidR="0008038F">
        <w:rPr>
          <w:rFonts w:ascii="Arial" w:hAnsi="Arial" w:cs="Arial"/>
          <w:sz w:val="22"/>
          <w:szCs w:val="22"/>
        </w:rPr>
        <w:t xml:space="preserve">incurred within the previous year </w:t>
      </w:r>
      <w:r w:rsidRPr="00587D38">
        <w:rPr>
          <w:rFonts w:ascii="Arial" w:hAnsi="Arial" w:cs="Arial"/>
          <w:sz w:val="22"/>
          <w:szCs w:val="22"/>
        </w:rPr>
        <w:t xml:space="preserve">may be eligible for reimbursement provided they are included in the budget. </w:t>
      </w:r>
    </w:p>
    <w:p w14:paraId="1955BB84" w14:textId="77777777" w:rsidR="00F5440B" w:rsidRPr="00587D38" w:rsidRDefault="00F5440B" w:rsidP="00F5440B">
      <w:pPr>
        <w:rPr>
          <w:rFonts w:ascii="Arial" w:hAnsi="Arial" w:cs="Arial"/>
          <w:b/>
          <w:sz w:val="24"/>
          <w:szCs w:val="24"/>
        </w:rPr>
      </w:pPr>
      <w:r w:rsidRPr="00587D38">
        <w:rPr>
          <w:rFonts w:ascii="Arial" w:hAnsi="Arial" w:cs="Arial"/>
          <w:b/>
          <w:sz w:val="24"/>
          <w:szCs w:val="24"/>
        </w:rPr>
        <w:t>Marketing Requirements:</w:t>
      </w:r>
    </w:p>
    <w:p w14:paraId="09076F14" w14:textId="77777777" w:rsidR="00F5440B" w:rsidRPr="00587D38" w:rsidRDefault="00F5440B" w:rsidP="00F5440B">
      <w:pPr>
        <w:tabs>
          <w:tab w:val="left" w:pos="-1440"/>
          <w:tab w:val="left" w:pos="-720"/>
          <w:tab w:val="left" w:pos="0"/>
          <w:tab w:val="left" w:pos="441"/>
          <w:tab w:val="left" w:pos="720"/>
        </w:tabs>
        <w:suppressAutoHyphens/>
        <w:rPr>
          <w:rFonts w:ascii="Arial" w:hAnsi="Arial" w:cs="Arial"/>
          <w:b/>
          <w:color w:val="FF0000"/>
          <w:sz w:val="22"/>
          <w:szCs w:val="22"/>
          <w:u w:val="single"/>
        </w:rPr>
      </w:pPr>
      <w:r w:rsidRPr="00587D38">
        <w:rPr>
          <w:rFonts w:ascii="Arial" w:hAnsi="Arial" w:cs="Arial"/>
          <w:color w:val="FF6600"/>
          <w:sz w:val="22"/>
          <w:szCs w:val="22"/>
          <w:u w:val="single"/>
        </w:rPr>
        <w:t>As revised by the Washington State Legislature and effective June 30, 2013</w:t>
      </w:r>
      <w:r w:rsidRPr="00587D38">
        <w:rPr>
          <w:rFonts w:ascii="Arial" w:hAnsi="Arial" w:cs="Arial"/>
          <w:color w:val="FF0000"/>
          <w:sz w:val="22"/>
          <w:szCs w:val="22"/>
          <w:u w:val="single"/>
        </w:rPr>
        <w:t>,</w:t>
      </w:r>
      <w:r w:rsidRPr="00587D38">
        <w:rPr>
          <w:rFonts w:ascii="Arial" w:hAnsi="Arial" w:cs="Arial"/>
          <w:b/>
          <w:color w:val="FF0000"/>
          <w:sz w:val="22"/>
          <w:szCs w:val="22"/>
        </w:rPr>
        <w:t xml:space="preserve"> </w:t>
      </w:r>
      <w:r w:rsidRPr="00587D38">
        <w:rPr>
          <w:rFonts w:ascii="Arial" w:hAnsi="Arial" w:cs="Arial"/>
          <w:sz w:val="22"/>
          <w:szCs w:val="22"/>
        </w:rPr>
        <w:t xml:space="preserve">RCW 67.28.080 defines a tourist as people travelling:  </w:t>
      </w:r>
    </w:p>
    <w:p w14:paraId="7D3D079C" w14:textId="77777777" w:rsidR="00F5440B" w:rsidRPr="00587D38" w:rsidRDefault="00F5440B" w:rsidP="00F5440B">
      <w:pPr>
        <w:pStyle w:val="ListParagraph"/>
        <w:numPr>
          <w:ilvl w:val="0"/>
          <w:numId w:val="1"/>
        </w:numPr>
        <w:rPr>
          <w:rFonts w:ascii="Arial" w:hAnsi="Arial" w:cs="Arial"/>
          <w:b/>
          <w:color w:val="5B9BD5" w:themeColor="accent5"/>
          <w:sz w:val="22"/>
          <w:szCs w:val="22"/>
        </w:rPr>
      </w:pPr>
      <w:r w:rsidRPr="00587D38">
        <w:rPr>
          <w:rFonts w:ascii="Arial" w:hAnsi="Arial" w:cs="Arial"/>
          <w:b/>
          <w:color w:val="5B9BD5" w:themeColor="accent5"/>
          <w:sz w:val="22"/>
          <w:szCs w:val="22"/>
        </w:rPr>
        <w:t>For business or pleasure staying overnight in paid accommodations,</w:t>
      </w:r>
    </w:p>
    <w:p w14:paraId="2959F877" w14:textId="77777777" w:rsidR="00F5440B" w:rsidRPr="00587D38" w:rsidRDefault="00F5440B" w:rsidP="00F5440B">
      <w:pPr>
        <w:pStyle w:val="ListParagraph"/>
        <w:numPr>
          <w:ilvl w:val="0"/>
          <w:numId w:val="1"/>
        </w:numPr>
        <w:rPr>
          <w:rFonts w:ascii="Arial" w:hAnsi="Arial" w:cs="Arial"/>
          <w:b/>
          <w:color w:val="5B9BD5" w:themeColor="accent5"/>
          <w:sz w:val="22"/>
          <w:szCs w:val="22"/>
        </w:rPr>
      </w:pPr>
      <w:r w:rsidRPr="00587D38">
        <w:rPr>
          <w:rFonts w:ascii="Arial" w:hAnsi="Arial" w:cs="Arial"/>
          <w:b/>
          <w:color w:val="5B9BD5" w:themeColor="accent5"/>
          <w:sz w:val="22"/>
          <w:szCs w:val="22"/>
        </w:rPr>
        <w:t>To a place 50 miles or more one way from their place of residence or business or</w:t>
      </w:r>
    </w:p>
    <w:p w14:paraId="7B9DAC64" w14:textId="16C5F968" w:rsidR="00F5440B" w:rsidRPr="00587D38" w:rsidRDefault="0008038F" w:rsidP="00F5440B">
      <w:pPr>
        <w:pStyle w:val="ListParagraph"/>
        <w:numPr>
          <w:ilvl w:val="0"/>
          <w:numId w:val="1"/>
        </w:numPr>
        <w:rPr>
          <w:rFonts w:ascii="Arial" w:hAnsi="Arial" w:cs="Arial"/>
          <w:color w:val="5B9BD5" w:themeColor="accent5"/>
          <w:sz w:val="22"/>
          <w:szCs w:val="22"/>
        </w:rPr>
      </w:pPr>
      <w:r w:rsidRPr="00587D38">
        <w:rPr>
          <w:rFonts w:ascii="Arial" w:hAnsi="Arial" w:cs="Arial"/>
          <w:noProof/>
          <w:sz w:val="32"/>
          <w:szCs w:val="28"/>
        </w:rPr>
        <w:drawing>
          <wp:anchor distT="0" distB="0" distL="114300" distR="114300" simplePos="0" relativeHeight="251659264" behindDoc="0" locked="0" layoutInCell="1" allowOverlap="1" wp14:anchorId="1C06E0F6" wp14:editId="174AC7B2">
            <wp:simplePos x="0" y="0"/>
            <wp:positionH relativeFrom="margin">
              <wp:posOffset>2907030</wp:posOffset>
            </wp:positionH>
            <wp:positionV relativeFrom="margin">
              <wp:posOffset>4978400</wp:posOffset>
            </wp:positionV>
            <wp:extent cx="3093720" cy="2543175"/>
            <wp:effectExtent l="0" t="0" r="0" b="9525"/>
            <wp:wrapSquare wrapText="bothSides"/>
            <wp:docPr id="1" name="Picture 1" descr="C:\Users\svt\AppData\Local\Microsoft\Windows\Temporary Internet Files\Content.Outlook\070JE4XC\BhamVicinity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vt\AppData\Local\Microsoft\Windows\Temporary Internet Files\Content.Outlook\070JE4XC\BhamVicinityMap.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381" t="2748" r="3666" b="6585"/>
                    <a:stretch/>
                  </pic:blipFill>
                  <pic:spPr bwMode="auto">
                    <a:xfrm>
                      <a:off x="0" y="0"/>
                      <a:ext cx="3093720" cy="254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440B" w:rsidRPr="00587D38">
        <w:rPr>
          <w:rFonts w:ascii="Arial" w:hAnsi="Arial" w:cs="Arial"/>
          <w:b/>
          <w:color w:val="5B9BD5" w:themeColor="accent5"/>
          <w:sz w:val="22"/>
          <w:szCs w:val="22"/>
        </w:rPr>
        <w:t>From another country or state outside of their place of residence or their business</w:t>
      </w:r>
      <w:r w:rsidR="00F5440B" w:rsidRPr="00587D38">
        <w:rPr>
          <w:rFonts w:ascii="Arial" w:hAnsi="Arial" w:cs="Arial"/>
          <w:color w:val="5B9BD5" w:themeColor="accent5"/>
          <w:sz w:val="22"/>
          <w:szCs w:val="22"/>
        </w:rPr>
        <w:t xml:space="preserve">. </w:t>
      </w:r>
    </w:p>
    <w:p w14:paraId="6AEB7D40" w14:textId="6F4BE541" w:rsidR="00F5440B" w:rsidRPr="00587D38" w:rsidRDefault="00F5440B" w:rsidP="00F5440B">
      <w:pPr>
        <w:tabs>
          <w:tab w:val="left" w:pos="-1440"/>
          <w:tab w:val="left" w:pos="-720"/>
          <w:tab w:val="left" w:pos="0"/>
          <w:tab w:val="left" w:pos="441"/>
          <w:tab w:val="left" w:pos="720"/>
        </w:tabs>
        <w:suppressAutoHyphens/>
        <w:rPr>
          <w:rFonts w:ascii="Arial" w:hAnsi="Arial" w:cs="Arial"/>
          <w:sz w:val="32"/>
          <w:szCs w:val="28"/>
        </w:rPr>
      </w:pPr>
      <w:r w:rsidRPr="00587D38">
        <w:rPr>
          <w:rFonts w:ascii="Arial" w:hAnsi="Arial" w:cs="Arial"/>
          <w:sz w:val="22"/>
          <w:szCs w:val="22"/>
        </w:rPr>
        <w:t xml:space="preserve">For purposes of this grant program, funding is limited to promotional activities which draw tourists, as defined above, to Bellingham.  </w:t>
      </w:r>
    </w:p>
    <w:p w14:paraId="6730E314" w14:textId="4E30F819" w:rsidR="00F5440B" w:rsidRPr="00587D38" w:rsidRDefault="00F5440B" w:rsidP="00F5440B">
      <w:pPr>
        <w:tabs>
          <w:tab w:val="left" w:pos="-1440"/>
          <w:tab w:val="left" w:pos="-720"/>
          <w:tab w:val="left" w:pos="0"/>
          <w:tab w:val="left" w:pos="441"/>
          <w:tab w:val="left" w:pos="720"/>
        </w:tabs>
        <w:suppressAutoHyphens/>
        <w:rPr>
          <w:rFonts w:ascii="Arial" w:hAnsi="Arial" w:cs="Arial"/>
          <w:sz w:val="22"/>
          <w:szCs w:val="22"/>
        </w:rPr>
      </w:pPr>
      <w:r w:rsidRPr="00587D38">
        <w:rPr>
          <w:rFonts w:ascii="Arial" w:hAnsi="Arial" w:cs="Arial"/>
          <w:sz w:val="22"/>
          <w:szCs w:val="22"/>
        </w:rPr>
        <w:t xml:space="preserve">Important </w:t>
      </w:r>
      <w:r w:rsidR="006A7D86">
        <w:rPr>
          <w:rFonts w:ascii="Arial" w:hAnsi="Arial" w:cs="Arial"/>
          <w:sz w:val="22"/>
          <w:szCs w:val="22"/>
        </w:rPr>
        <w:t>c</w:t>
      </w:r>
      <w:r w:rsidRPr="00587D38">
        <w:rPr>
          <w:rFonts w:ascii="Arial" w:hAnsi="Arial" w:cs="Arial"/>
          <w:sz w:val="22"/>
          <w:szCs w:val="22"/>
        </w:rPr>
        <w:t xml:space="preserve">larification on </w:t>
      </w:r>
      <w:r w:rsidR="006A7D86">
        <w:rPr>
          <w:rFonts w:ascii="Arial" w:hAnsi="Arial" w:cs="Arial"/>
          <w:sz w:val="22"/>
          <w:szCs w:val="22"/>
        </w:rPr>
        <w:t>e</w:t>
      </w:r>
      <w:r w:rsidRPr="00587D38">
        <w:rPr>
          <w:rFonts w:ascii="Arial" w:hAnsi="Arial" w:cs="Arial"/>
          <w:sz w:val="22"/>
          <w:szCs w:val="22"/>
        </w:rPr>
        <w:t xml:space="preserve">ligible </w:t>
      </w:r>
      <w:r w:rsidR="006A7D86">
        <w:rPr>
          <w:rFonts w:ascii="Arial" w:hAnsi="Arial" w:cs="Arial"/>
          <w:sz w:val="22"/>
          <w:szCs w:val="22"/>
        </w:rPr>
        <w:t>e</w:t>
      </w:r>
      <w:r w:rsidRPr="00587D38">
        <w:rPr>
          <w:rFonts w:ascii="Arial" w:hAnsi="Arial" w:cs="Arial"/>
          <w:sz w:val="22"/>
          <w:szCs w:val="22"/>
        </w:rPr>
        <w:t xml:space="preserve">xpenses for </w:t>
      </w:r>
      <w:r w:rsidR="006A7D86">
        <w:rPr>
          <w:rFonts w:ascii="Arial" w:hAnsi="Arial" w:cs="Arial"/>
          <w:sz w:val="22"/>
          <w:szCs w:val="22"/>
        </w:rPr>
        <w:t>m</w:t>
      </w:r>
      <w:r w:rsidRPr="00587D38">
        <w:rPr>
          <w:rFonts w:ascii="Arial" w:hAnsi="Arial" w:cs="Arial"/>
          <w:sz w:val="22"/>
          <w:szCs w:val="22"/>
        </w:rPr>
        <w:t xml:space="preserve">arketing:  An eligible publication may </w:t>
      </w:r>
      <w:proofErr w:type="gramStart"/>
      <w:r w:rsidRPr="00587D38">
        <w:rPr>
          <w:rFonts w:ascii="Arial" w:hAnsi="Arial" w:cs="Arial"/>
          <w:sz w:val="22"/>
          <w:szCs w:val="22"/>
        </w:rPr>
        <w:t>distribute</w:t>
      </w:r>
      <w:proofErr w:type="gramEnd"/>
      <w:r w:rsidRPr="00587D38">
        <w:rPr>
          <w:rFonts w:ascii="Arial" w:hAnsi="Arial" w:cs="Arial"/>
          <w:sz w:val="22"/>
          <w:szCs w:val="22"/>
        </w:rPr>
        <w:t xml:space="preserve"> within the 50-mile boundary provided they also distribute outside of this boundary.  For example, Adventures Northwest Magazine distributes within the boundary but also distributes east of the mountains, in King County, Portland and into Canada.  </w:t>
      </w:r>
    </w:p>
    <w:p w14:paraId="7050E72D" w14:textId="4D06BE79" w:rsidR="002C4942" w:rsidRPr="00C16832" w:rsidRDefault="00F5440B" w:rsidP="00C16832">
      <w:pPr>
        <w:tabs>
          <w:tab w:val="left" w:pos="-1440"/>
          <w:tab w:val="left" w:pos="-720"/>
          <w:tab w:val="left" w:pos="0"/>
          <w:tab w:val="left" w:pos="441"/>
          <w:tab w:val="left" w:pos="720"/>
          <w:tab w:val="left" w:pos="4860"/>
        </w:tabs>
        <w:suppressAutoHyphens/>
        <w:rPr>
          <w:rFonts w:ascii="Arial" w:hAnsi="Arial" w:cs="Arial"/>
          <w:sz w:val="22"/>
          <w:szCs w:val="22"/>
        </w:rPr>
      </w:pPr>
      <w:r w:rsidRPr="00587D38">
        <w:rPr>
          <w:rFonts w:ascii="Arial" w:hAnsi="Arial" w:cs="Arial"/>
          <w:sz w:val="22"/>
          <w:szCs w:val="22"/>
        </w:rPr>
        <w:t xml:space="preserve">The City will require a distribution list from the publication and will pro-rate reimbursement </w:t>
      </w:r>
      <w:proofErr w:type="gramStart"/>
      <w:r w:rsidRPr="00587D38">
        <w:rPr>
          <w:rFonts w:ascii="Arial" w:hAnsi="Arial" w:cs="Arial"/>
          <w:sz w:val="22"/>
          <w:szCs w:val="22"/>
        </w:rPr>
        <w:t>based</w:t>
      </w:r>
      <w:proofErr w:type="gramEnd"/>
      <w:r w:rsidRPr="00587D38">
        <w:rPr>
          <w:rFonts w:ascii="Arial" w:hAnsi="Arial" w:cs="Arial"/>
          <w:sz w:val="22"/>
          <w:szCs w:val="22"/>
        </w:rPr>
        <w:t xml:space="preserve"> upon amount distributed outside of the 50 miles.  Applicants are encouraged to contact staff for a determination of eligibility.  </w:t>
      </w:r>
    </w:p>
    <w:sectPr w:rsidR="002C4942" w:rsidRPr="00C16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73EF"/>
    <w:multiLevelType w:val="hybridMultilevel"/>
    <w:tmpl w:val="E056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74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0B"/>
    <w:rsid w:val="0008038F"/>
    <w:rsid w:val="00142CF0"/>
    <w:rsid w:val="001F2A36"/>
    <w:rsid w:val="002C4942"/>
    <w:rsid w:val="003D6AC7"/>
    <w:rsid w:val="004544D3"/>
    <w:rsid w:val="004B4D67"/>
    <w:rsid w:val="005073FD"/>
    <w:rsid w:val="00556942"/>
    <w:rsid w:val="0057143B"/>
    <w:rsid w:val="00587D38"/>
    <w:rsid w:val="00627869"/>
    <w:rsid w:val="006A7D86"/>
    <w:rsid w:val="007F3BDF"/>
    <w:rsid w:val="00900C6F"/>
    <w:rsid w:val="009B0F91"/>
    <w:rsid w:val="00A77790"/>
    <w:rsid w:val="00B50B94"/>
    <w:rsid w:val="00C16832"/>
    <w:rsid w:val="00E50F7A"/>
    <w:rsid w:val="00F5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79F7"/>
  <w15:chartTrackingRefBased/>
  <w15:docId w15:val="{CB1A6E92-6278-4843-9D98-7898368E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0B"/>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54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4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4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4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4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40B"/>
    <w:rPr>
      <w:rFonts w:eastAsiaTheme="majorEastAsia" w:cstheme="majorBidi"/>
      <w:color w:val="272727" w:themeColor="text1" w:themeTint="D8"/>
    </w:rPr>
  </w:style>
  <w:style w:type="paragraph" w:styleId="Title">
    <w:name w:val="Title"/>
    <w:basedOn w:val="Normal"/>
    <w:next w:val="Normal"/>
    <w:link w:val="TitleChar"/>
    <w:uiPriority w:val="10"/>
    <w:qFormat/>
    <w:rsid w:val="00F54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40B"/>
    <w:pPr>
      <w:spacing w:before="160"/>
      <w:jc w:val="center"/>
    </w:pPr>
    <w:rPr>
      <w:i/>
      <w:iCs/>
      <w:color w:val="404040" w:themeColor="text1" w:themeTint="BF"/>
    </w:rPr>
  </w:style>
  <w:style w:type="character" w:customStyle="1" w:styleId="QuoteChar">
    <w:name w:val="Quote Char"/>
    <w:basedOn w:val="DefaultParagraphFont"/>
    <w:link w:val="Quote"/>
    <w:uiPriority w:val="29"/>
    <w:rsid w:val="00F5440B"/>
    <w:rPr>
      <w:i/>
      <w:iCs/>
      <w:color w:val="404040" w:themeColor="text1" w:themeTint="BF"/>
    </w:rPr>
  </w:style>
  <w:style w:type="paragraph" w:styleId="ListParagraph">
    <w:name w:val="List Paragraph"/>
    <w:basedOn w:val="Normal"/>
    <w:uiPriority w:val="34"/>
    <w:qFormat/>
    <w:rsid w:val="00F5440B"/>
    <w:pPr>
      <w:ind w:left="720"/>
      <w:contextualSpacing/>
    </w:pPr>
  </w:style>
  <w:style w:type="character" w:styleId="IntenseEmphasis">
    <w:name w:val="Intense Emphasis"/>
    <w:basedOn w:val="DefaultParagraphFont"/>
    <w:uiPriority w:val="21"/>
    <w:qFormat/>
    <w:rsid w:val="00F5440B"/>
    <w:rPr>
      <w:i/>
      <w:iCs/>
      <w:color w:val="2F5496" w:themeColor="accent1" w:themeShade="BF"/>
    </w:rPr>
  </w:style>
  <w:style w:type="paragraph" w:styleId="IntenseQuote">
    <w:name w:val="Intense Quote"/>
    <w:basedOn w:val="Normal"/>
    <w:next w:val="Normal"/>
    <w:link w:val="IntenseQuoteChar"/>
    <w:uiPriority w:val="30"/>
    <w:qFormat/>
    <w:rsid w:val="00F54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40B"/>
    <w:rPr>
      <w:i/>
      <w:iCs/>
      <w:color w:val="2F5496" w:themeColor="accent1" w:themeShade="BF"/>
    </w:rPr>
  </w:style>
  <w:style w:type="character" w:styleId="IntenseReference">
    <w:name w:val="Intense Reference"/>
    <w:basedOn w:val="DefaultParagraphFont"/>
    <w:uiPriority w:val="32"/>
    <w:qFormat/>
    <w:rsid w:val="00F54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736B5CA06574F90CD2BEAEF4E581F" ma:contentTypeVersion="11" ma:contentTypeDescription="Create a new document." ma:contentTypeScope="" ma:versionID="c8585ca5a18c60a49c9afd4a782c8129">
  <xsd:schema xmlns:xsd="http://www.w3.org/2001/XMLSchema" xmlns:xs="http://www.w3.org/2001/XMLSchema" xmlns:p="http://schemas.microsoft.com/office/2006/metadata/properties" xmlns:ns2="e62cb524-7bf3-46ec-85be-645a1d046758" xmlns:ns3="e628b348-9b88-41be-957b-55254c335507" targetNamespace="http://schemas.microsoft.com/office/2006/metadata/properties" ma:root="true" ma:fieldsID="09da1ca3735c257a4d5d3dbb15c19f07" ns2:_="" ns3:_="">
    <xsd:import namespace="e62cb524-7bf3-46ec-85be-645a1d046758"/>
    <xsd:import namespace="e628b348-9b88-41be-957b-55254c3355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cb524-7bf3-46ec-85be-645a1d046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6060d4-80ad-4341-b414-3c9237604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8b348-9b88-41be-957b-55254c3355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35247-759a-4ccb-8cba-9eac35cfcfa8}" ma:internalName="TaxCatchAll" ma:showField="CatchAllData" ma:web="e628b348-9b88-41be-957b-55254c33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cb524-7bf3-46ec-85be-645a1d046758">
      <Terms xmlns="http://schemas.microsoft.com/office/infopath/2007/PartnerControls"/>
    </lcf76f155ced4ddcb4097134ff3c332f>
    <TaxCatchAll xmlns="e628b348-9b88-41be-957b-55254c335507" xsi:nil="true"/>
  </documentManagement>
</p:properties>
</file>

<file path=customXml/itemProps1.xml><?xml version="1.0" encoding="utf-8"?>
<ds:datastoreItem xmlns:ds="http://schemas.openxmlformats.org/officeDocument/2006/customXml" ds:itemID="{E45FBCE9-74EF-4B43-9CED-9D784890B2DC}"/>
</file>

<file path=customXml/itemProps2.xml><?xml version="1.0" encoding="utf-8"?>
<ds:datastoreItem xmlns:ds="http://schemas.openxmlformats.org/officeDocument/2006/customXml" ds:itemID="{FE53B37F-29D8-47E8-B68D-4E161410FB36}"/>
</file>

<file path=customXml/itemProps3.xml><?xml version="1.0" encoding="utf-8"?>
<ds:datastoreItem xmlns:ds="http://schemas.openxmlformats.org/officeDocument/2006/customXml" ds:itemID="{E8294217-A4F9-425D-98C6-336A9499E4D0}"/>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Taylor K.</dc:creator>
  <cp:keywords/>
  <dc:description/>
  <cp:lastModifiedBy>Taylor K Webb</cp:lastModifiedBy>
  <cp:revision>17</cp:revision>
  <dcterms:created xsi:type="dcterms:W3CDTF">2024-11-21T22:21:00Z</dcterms:created>
  <dcterms:modified xsi:type="dcterms:W3CDTF">2025-05-20T20:03:00Z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0x010100B99736B5CA06574F90CD2BEAEF4E581F</vt:lpwstr>
  </property>
</Properties>
</file>